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720" w:hanging="36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Análisis del Anteproyecto del Régimen penal juvenil.</w:t>
      </w:r>
      <w:r w:rsidDel="00000000" w:rsidR="00000000" w:rsidRPr="00000000">
        <w:rPr>
          <w:rtl w:val="0"/>
        </w:rPr>
      </w:r>
    </w:p>
    <w:p w:rsidR="00000000" w:rsidDel="00000000" w:rsidP="00000000" w:rsidRDefault="00000000" w:rsidRPr="00000000" w14:paraId="00000002">
      <w:pPr>
        <w:spacing w:line="360" w:lineRule="auto"/>
        <w:ind w:left="720" w:hanging="36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Comisión Provincial del Fuero Penal Juvenil.</w:t>
      </w:r>
      <w:r w:rsidDel="00000000" w:rsidR="00000000" w:rsidRPr="00000000">
        <w:rPr>
          <w:rtl w:val="0"/>
        </w:rPr>
      </w:r>
    </w:p>
    <w:p w:rsidR="00000000" w:rsidDel="00000000" w:rsidP="00000000" w:rsidRDefault="00000000" w:rsidRPr="00000000" w14:paraId="00000003">
      <w:pPr>
        <w:spacing w:line="360" w:lineRule="auto"/>
        <w:ind w:left="720" w:hanging="36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Colegio de Magistrados y Funcionarios de la Provincia de Buenos Aires.</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Habiéndose reunido la Comisión Provincial del Fuero de Responsabilidad Penal Juvenil, integrada por todos los departamentos judiciales miembros del Colegio de Magistrados y Funcionarios de la Provincia de Buenos, luego de un variado intercambio de ideas y aportes, queremos dar a conocer y acercar a los redactores del Proyecto del Régimen Penal Juvenil y legisladores, nuestras observaciones y reflexiones, sobre tan importante ley para nuestro Fuero Penal Juvenil.</w:t>
      </w:r>
    </w:p>
    <w:p w:rsidR="00000000" w:rsidDel="00000000" w:rsidP="00000000" w:rsidRDefault="00000000" w:rsidRPr="00000000" w14:paraId="00000005">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Cabe resaltar, que el análisis llevado a cabo por esta comisión pertenece a los operadores del sistema de justicia penal juvenil, de una de las provincias con más experiencia en la temática, toda vez que desde el año 2008 Buenos Aires cuenta con la ley 13634 que nos respalda a manifestarnos en este sentido. En función de ello es que fundamentalmente, se reconoce la imperiosa necesidad verificada en nuestras prácticas cotidianas; de debatir este régimen para adecuar la legislación a los estándares internacionales, en cumplimiento de las sanciones que ha recibido Argentina por parte de la Corte Interamericana de Derechos Humanos. (Caso Mendoza y otros vs. Argentina).</w:t>
      </w:r>
    </w:p>
    <w:p w:rsidR="00000000" w:rsidDel="00000000" w:rsidP="00000000" w:rsidRDefault="00000000" w:rsidRPr="00000000" w14:paraId="00000006">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modo de introducción, lo primero que merece observación, es que esta adecuación legislativa que se intenta mediante el régimen penal juvenil, de conformidad al anteproyecto presentado, creemos que adolece de una defectuosa técnica legislativa, en cuanto se advierte la interferencia en cuestiones procesales que compete a las legislaciones provinciales, menoscabando la forma federal de gobierno.</w:t>
      </w:r>
    </w:p>
    <w:p w:rsidR="00000000" w:rsidDel="00000000" w:rsidP="00000000" w:rsidRDefault="00000000" w:rsidRPr="00000000" w14:paraId="00000007">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Por ello, señalamos los siguientes temas:</w:t>
      </w:r>
    </w:p>
    <w:p w:rsidR="00000000" w:rsidDel="00000000" w:rsidP="00000000" w:rsidRDefault="00000000" w:rsidRPr="00000000" w14:paraId="00000008">
      <w:pPr>
        <w:spacing w:line="360" w:lineRule="auto"/>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 Edad mínima de Responsabilidad Penal.</w:t>
      </w: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Entendemos que el anteproyecto de reforma violenta uno de los principios arquitectónicos del Derecho Internacional de los Derechos Humanos de la Infancia, la obligación de progresividad y prohibición de regresividad, que fuera incorporada al ordenamiento constitucional argentino en 1994, con la introducción del artículo 75 inciso 22 a nuestra carta magna, así como, a partir de la inclusión de los instrumentos internacionales de derechos humanos en el bloque de constitucionalidad federal.  Asimismo, si bien se han señalado en los fundamentos del anteproyecto los países que dictaron un sistema de responsabilidad penal juvenil en Latinoamérica, indicando las distintas edades que han fijado, cierto es que omitieron indicar las penas máximas que esos países tienen para los delitos más graves que son significativamente menores que las que se propone.</w:t>
      </w:r>
    </w:p>
    <w:p w:rsidR="00000000" w:rsidDel="00000000" w:rsidP="00000000" w:rsidRDefault="00000000" w:rsidRPr="00000000" w14:paraId="0000000A">
      <w:pPr>
        <w:spacing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afectación del principio de progresividad, no sólo en se refleja en lo referido a la baja de la edad mínima de responsabilidad penal (EMRP), sino también al regular cantidad de institutos que se presentan con imperfecta y regresiva implementación, aún en comparación con las posibilidades actuales (arts. 3, 40 CDN; Observación General Nº 10 (párrafo 33); 19 y 20 CADH).</w:t>
      </w:r>
    </w:p>
    <w:p w:rsidR="00000000" w:rsidDel="00000000" w:rsidP="00000000" w:rsidRDefault="00000000" w:rsidRPr="00000000" w14:paraId="0000000B">
      <w:pPr>
        <w:spacing w:line="36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Plazo razonable del proceso. Prescripción. Suspensión del juicio a prueba. Remisión.  Participación de la víctima o la comunidad.</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 el plazo de tres años de duración del proceso, violentando el “plazo razonable” especialmente en materia de niñez. (artículo 11).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Respecto de la prescripción, el artículo 18 determina que se interrumpe por la declaración de rebeldía, dicha causal que no está prevista para el fuero de adultos.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Institutos como la suspensión de juicio a prueba, remisión, la prisión preventiva entre otros, generan cierta incertidumbre a la hora de su interpretación, sumado a que se establecen requisitos más estrictos que para los imputados adultos; en igual sentido en relación con la suspensión de la prescripción; aplicación de sanciones disciplinarias gravosas. Por ejemplo, en la Suspensión del juicio a prueba, el artículo 24, no es clara la redacción en cuanto a la opinión de la víctima y su carácter vinculante. Es exclusivo para delitos con penas no privativas de libertad. Se establecen criterios de procedencia más restrictivos que los regulados en el Código Penal. Se advierte la necesidad de definir los alcances de dichos institutos para una mejor implementación de estos.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cuanto al instituto de Remisión, el mismo no prevé que el imputado y su Defensa Técnica puedan solicitarla, resultando este también un derecho del joven, vulnerando la bilateralidad e igualdad de armas. A ello se suma la inmotivada limitación a su aplicación a delitos con una pena máxima de 10 años -limitación esta que también obedece a la aplicación de todos los criterios de oportunidad tal como surge del artículo 15-; quedando judicializado el joven más allá del Instituto en trato. Ello en virtud de velar asistencialmente el Juez por el cumplimiento de pautas ajenas a lo penal, mezclándolo con lo asistencial. Idéntica crítica puede realizarse en cuestiones de Salud Mental, reguladas en el Capítulo 11 del proyecto.</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Respecto a la participación de la víctima en el proceso, consideramos que es excesiva en relación con su presencia en actos procesales, tales como audiencias en las cuales puede resultar problemático y revictimizador conforme los delitos de violencia de género y violencia sexual. Debería circunscribirse su actuación a poder participar sin que ello resulte un obstáculo a la finalidad pedagógico social de los procesos en la justicia penal juvenil.</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Medidas Cautelares.</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artículo 12 agrava los plazos de la detención si se la compara con la ley procesal provincial del fuero. Asimismo, el a</w:t>
      </w: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rt. 15 limita  la aplicación de principio de oportunidad. Entendemos que contradice los lineamientos de los instrumentos internacionales. Determina como criterio la escala penal para la discrecionalidad del Agente Fiscal, agravando los parámetros del articulo 40 de la ley 13634 de la provincia de Buenos Aires.</w:t>
      </w:r>
    </w:p>
    <w:p w:rsidR="00000000" w:rsidDel="00000000" w:rsidP="00000000" w:rsidRDefault="00000000" w:rsidRPr="00000000" w14:paraId="00000016">
      <w:pPr>
        <w:spacing w:line="360" w:lineRule="auto"/>
        <w:jc w:val="both"/>
        <w:rPr>
          <w:rFonts w:ascii="Arial" w:cs="Arial" w:eastAsia="Arial" w:hAnsi="Arial"/>
          <w:color w:val="212121"/>
          <w:vertAlign w:val="baseline"/>
        </w:rPr>
      </w:pPr>
      <w:r w:rsidDel="00000000" w:rsidR="00000000" w:rsidRPr="00000000">
        <w:rPr>
          <w:rFonts w:ascii="Arial" w:cs="Arial" w:eastAsia="Arial" w:hAnsi="Arial"/>
          <w:color w:val="212121"/>
          <w:vertAlign w:val="baseline"/>
          <w:rtl w:val="0"/>
        </w:rPr>
        <w:t xml:space="preserve">Asimismo, dentro del capítulo 7 se destaca el artículo 58 sobre las medidas de coerción procesal, ya que entendemos, resulta positivo se regule un tope de la medida, pero que dicho límite es excesivo, considerando que existen legislaciones provinciales tienen plazos diferentes y menores. Debemos señalar que no se establecen las razones por las cuales se disponen las medidas de coerción procesal. Y se omite la referencia a medidas cautelares que pueden otorgarse alternativas a las privativas de libertad.</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1"/>
          <w:i w:val="0"/>
          <w:smallCaps w:val="0"/>
          <w:strike w:val="0"/>
          <w:color w:val="212121"/>
          <w:sz w:val="22"/>
          <w:szCs w:val="22"/>
          <w:u w:val="none"/>
          <w:shd w:fill="auto" w:val="clear"/>
          <w:vertAlign w:val="baseline"/>
          <w:rtl w:val="0"/>
        </w:rPr>
        <w:t xml:space="preserve">D) Condiciones de detención. </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La situación actual en la provincia de Buenos Aires, de los lugares de detención de los jóvenes, requiere la necesaria instalación de Centros de Alojamientos, Centros de Contención y/o Recepción en cada Departamento Judicial. Por otra parte, se plantea que, si actualmente los Centros Cerrados y de Contención cuentan con escasas vacantes y recursos para ubicar a jóvenes con medidas de coerción o con sanciones privativas de libertad, sin poder ofrecerles actividades educativas, recreativas y de formación; de llevarse a cabo una baja en la edad de punibilidad difícilmente podrían absorber y hacer frente a un incremento de medidas privativas de libertad.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1"/>
          <w:i w:val="0"/>
          <w:smallCaps w:val="0"/>
          <w:strike w:val="0"/>
          <w:color w:val="212121"/>
          <w:sz w:val="22"/>
          <w:szCs w:val="22"/>
          <w:u w:val="none"/>
          <w:shd w:fill="auto" w:val="clear"/>
          <w:vertAlign w:val="baseline"/>
          <w:rtl w:val="0"/>
        </w:rPr>
        <w:t xml:space="preserve">E) Sanciones.</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destaca la patente violación de los principios de culpabilidad, no regresividad, mínima intervención penal y subsidiariedad del sistema penal juvenil, en cuanto a las pautas para determinar la sanción aplicable. Así, el artículo 52, omite considerar penas reducidas respecto de las previstas para los mayores de edad, acordes a dichos principios y a precedentes jurisprudenciales que citan los fundamentos del proyecto, desapareciendo la posibilidad de absolver o reducir la pena en su forma prevista para la tentativa. Tampoco se prevé topes de penas fijadas para los jóvenes de 16 y 17 años que fueran condenados. En este sentido, el actual art. 4 de la ley vigente, otorga la facultad al Juez tanto de reducir la escala penal a la forma prevista para la tentativa como también de absolver por no necesidad de aplicación de pena. Por ello, creemos necesario que se sostenga el instituto de la Cesura de juicio para el análisis de la necesidad de la sanción, y en su caso, su graduación, teniendo especialmente en cuenta que nos encontramos ante personas en proceso de desarrollo.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Asimismo, entendemos que deben so</w:t>
      </w: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stenerse las medidas restaurativas y socioeducativos no solo para delitos leves. En este orden, resulta confuso respecto a los casos de incumplimiento de las sanciones socioeducativas y su consecuencia para aplicar la pena privativa de libertad. Asimismo, cuáles serían los efectos de un cumplimiento parcial, respecto al cómputo de dicho período.</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En lo relativo al arresto domiciliario: se impone con pulsera electrónica, implementación que en el fuero de adultos no está previsto como obligatorio. En consecuencia, el dispositivo electrónico no debería ser imposición sino como opción.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Por último, en relación con la unificación de sanciones la postura mayoritaria de esta comisión es la relativa a que no procede la unificación de penas. El artículo se presenta confuso y su interpretación entendemos requiere un debate más profundo, no compartimos el sistema que plantea la redacción del artículo. Entendemos que la unificación de condenas podría acarrear resultados irracionales. En la práctica se observan obstáculos insalvables.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1"/>
          <w:i w:val="0"/>
          <w:smallCaps w:val="0"/>
          <w:strike w:val="0"/>
          <w:color w:val="212121"/>
          <w:sz w:val="22"/>
          <w:szCs w:val="22"/>
          <w:u w:val="none"/>
          <w:shd w:fill="auto" w:val="clear"/>
          <w:vertAlign w:val="baseline"/>
          <w:rtl w:val="0"/>
        </w:rPr>
        <w:t xml:space="preserve">F) Conformación de equipos multidisciplinarios.</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El Artículo 61 referido a los Equipos interdisciplinarios, dispone su implementación bajo la órbita del juez, y no de todas las partes del proceso. Ello, atenta contra el sistema acusatorio y adversarial, debilitando el rol de las partes, y retrocediendo a los lineamientos de un sistema inquisitivo que establecía el paradigma del antiguo Régimen del Patronato. De la misma manera la instrumentación del legajo personal y los Registros de Antecedentes de Niños y Adolescentes, los que aun siendo confidenciales resultan inconstitucionales y violatorios a la garantía de privacidad.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1"/>
          <w:i w:val="0"/>
          <w:smallCaps w:val="0"/>
          <w:strike w:val="0"/>
          <w:color w:val="212121"/>
          <w:sz w:val="22"/>
          <w:szCs w:val="22"/>
          <w:u w:val="none"/>
          <w:shd w:fill="auto" w:val="clear"/>
          <w:vertAlign w:val="baseline"/>
          <w:rtl w:val="0"/>
        </w:rPr>
        <w:t xml:space="preserve">G) Respuesta a los no punibles. </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Sostenemos respecto de los no punibles, que la técnica legislativa de este capítulo también es deficiente, ambigua y contradictoria, dado que estos adolescentes, permanecen en el Sistema de Justicia Penal Juvenil, luego de la declaración de inimputabilidad que en defecto sería -a nuestro entender- no punibilidad, y que por lo tanto no debería continuar la intervención del Juez penal juvenil. Resulta confuso, que la niña, niño o adolescente no punible no será sometido a proceso penal (artículo 85), y luego se continué con la intervención de este fuero especializado conforme el artículo 86, estableciendo la discrecionalidad del juez, por un tiempo que no se determina ni se limita. Relacionado a ello, la remisión de los informes de los organismos intervinientes, cada tres meses, y durante el tiempo </w:t>
      </w:r>
      <w:r w:rsidDel="00000000" w:rsidR="00000000" w:rsidRPr="00000000">
        <w:rPr>
          <w:rFonts w:ascii="Arial" w:cs="Arial" w:eastAsia="Arial" w:hAnsi="Arial"/>
          <w:b w:val="1"/>
          <w:i w:val="1"/>
          <w:smallCaps w:val="0"/>
          <w:strike w:val="0"/>
          <w:color w:val="212121"/>
          <w:sz w:val="22"/>
          <w:szCs w:val="22"/>
          <w:u w:val="none"/>
          <w:shd w:fill="auto" w:val="clear"/>
          <w:vertAlign w:val="baseline"/>
          <w:rtl w:val="0"/>
        </w:rPr>
        <w:t xml:space="preserve">(indefinido)</w:t>
      </w: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 que duren las acciones.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1"/>
          <w:i w:val="0"/>
          <w:smallCaps w:val="0"/>
          <w:strike w:val="0"/>
          <w:color w:val="212121"/>
          <w:sz w:val="22"/>
          <w:szCs w:val="22"/>
          <w:u w:val="none"/>
          <w:shd w:fill="auto" w:val="clear"/>
          <w:vertAlign w:val="baseline"/>
          <w:rtl w:val="0"/>
        </w:rPr>
        <w:t xml:space="preserve">H) Justicia especializada. Capacitación de los jueces, fiscales, defensores, fuerzas de seguridad y operadores del sistema de justicia penal juvenil.</w:t>
      </w:r>
      <w:r w:rsidDel="00000000" w:rsidR="00000000" w:rsidRPr="00000000">
        <w:rPr>
          <w:rtl w:val="0"/>
        </w:rPr>
      </w:r>
    </w:p>
    <w:p w:rsidR="00000000" w:rsidDel="00000000" w:rsidP="00000000" w:rsidRDefault="00000000" w:rsidRPr="00000000" w14:paraId="0000002A">
      <w:pPr>
        <w:spacing w:after="0" w:line="360" w:lineRule="auto"/>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Finalmente, la especialidad que rige el Fuero se ve afectada en virtud de que se permite la conformación o adecuación de Tribunales especiales para la aplicación de la Ley, en lugar de crear un Fuero especializado como señalan los Organismos Internacionales de Derechos Humanos. Entendemos, que no se garantiza la especialización del fuero, por el sólo hecho de que los órganos acrediten tal especialidad con determinados cursos. </w:t>
      </w:r>
    </w:p>
    <w:p w:rsidR="00000000" w:rsidDel="00000000" w:rsidP="00000000" w:rsidRDefault="00000000" w:rsidRPr="00000000" w14:paraId="0000002B">
      <w:pPr>
        <w:spacing w:after="0" w:line="360" w:lineRule="auto"/>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Por otra parte, ciertos lineamientos que surgen del proyecto de ley, entendemos que debilitan los paradigmas de la justicia especializada. Así el artículo 13, flexibiliza los estándares relativos al respeto de la vida privada del adolescente. Permitiendo al joven, con la asistencia letrada hacer públicos los datos del proceso, pudiendo ello generar distorsiones de este derecho, más aun teniendo en cuanta la actualidad de la relación justicia y los medios de comunicación.</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En cuanto, a la delimitación del sistema de justicia penal especializada, el capítulo referido a las medidas de salud, su redacción resulta confusa con relación a la articulación entre el sistema de salud y el sistema de responsabilidad penal juvenil. Entendemos que las cuestiones de competencia se verán excedidas por el juez penal juvenil, y quizás superpuestas con el juez civil o de familia.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12121"/>
          <w:sz w:val="22"/>
          <w:szCs w:val="22"/>
          <w:u w:val="none"/>
          <w:shd w:fill="auto" w:val="clear"/>
          <w:vertAlign w:val="baseline"/>
        </w:rPr>
      </w:pPr>
      <w:r w:rsidDel="00000000" w:rsidR="00000000" w:rsidRPr="00000000">
        <w:rPr>
          <w:rFonts w:ascii="Arial" w:cs="Arial" w:eastAsia="Arial" w:hAnsi="Arial"/>
          <w:b w:val="0"/>
          <w:i w:val="0"/>
          <w:smallCaps w:val="0"/>
          <w:strike w:val="0"/>
          <w:color w:val="212121"/>
          <w:sz w:val="22"/>
          <w:szCs w:val="22"/>
          <w:u w:val="none"/>
          <w:shd w:fill="auto" w:val="clear"/>
          <w:vertAlign w:val="baseline"/>
          <w:rtl w:val="0"/>
        </w:rPr>
        <w:t xml:space="preserve">Asimismo, resulta necesario para la implementación de una justicia especializada, establecer con claridad la aplicación de este régimen no sólo a los jóvenes que alcanzan la mayoría de edad, sin haber concluido sus procesos, sino también la aplicación subsidiaria del código penal de adultos, toda vez que no restrinja o disminuya los principios y garantías de este fuero.</w:t>
      </w:r>
    </w:p>
    <w:p w:rsidR="00000000" w:rsidDel="00000000" w:rsidP="00000000" w:rsidRDefault="00000000" w:rsidRPr="00000000" w14:paraId="0000002E">
      <w:pPr>
        <w:spacing w:after="0" w:line="360" w:lineRule="auto"/>
        <w:jc w:val="both"/>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2F">
      <w:pPr>
        <w:spacing w:after="0" w:line="360" w:lineRule="auto"/>
        <w:jc w:val="both"/>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I)  Monitoreo e implementación del sistema. Articulaciones sistémicas.</w:t>
      </w:r>
      <w:r w:rsidDel="00000000" w:rsidR="00000000" w:rsidRPr="00000000">
        <w:rPr>
          <w:rtl w:val="0"/>
        </w:rPr>
      </w:r>
    </w:p>
    <w:p w:rsidR="00000000" w:rsidDel="00000000" w:rsidP="00000000" w:rsidRDefault="00000000" w:rsidRPr="00000000" w14:paraId="00000030">
      <w:pPr>
        <w:spacing w:after="0" w:line="360" w:lineRule="auto"/>
        <w:jc w:val="both"/>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31">
      <w:pPr>
        <w:spacing w:after="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considera que previamente a tratar aspectos de reforma acerca de la baja de edad de punibilidad deberían reforzarse desde el Poder Ejecutivo los recursos materiales y humanos para intervenir con aquellos jóvenes comprendidos en la franja etaria actual de no punibilidad que se ven involucrados en la comisión de hechos delictivos. Así, para implementar este sistema, deben además de coordinarse y protocolizarse los mecanismos de articulación entre los diferentes Ministerios de Gobierno, es necesario instar a las partidas presupuestarias para que ello sea efectivo.</w:t>
      </w:r>
    </w:p>
    <w:p w:rsidR="00000000" w:rsidDel="00000000" w:rsidP="00000000" w:rsidRDefault="00000000" w:rsidRPr="00000000" w14:paraId="00000032">
      <w:pPr>
        <w:spacing w:after="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su vez, esta comisión, deja sentado que el conflicto social existente no se resuelve con una intervención penal más temprana edad sino a través de mayor prevención y fortalecimiento de los organismos encargados de trabajar con niños, niñas y adolescentes que presentan derechos vulnerados.</w:t>
      </w:r>
    </w:p>
    <w:p w:rsidR="00000000" w:rsidDel="00000000" w:rsidP="00000000" w:rsidRDefault="00000000" w:rsidRPr="00000000" w14:paraId="00000033">
      <w:pPr>
        <w:spacing w:after="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Por último, ponemos de resalto que la situación actual y el clamor social a través del cual se solicitan respuestas estatales frente a la comisión de delitos no debe precipitar una decisión legislativa de ese tenor, sino que debe ser abordada a través de políticas sociales e integrales de Estado. Puntualmente se propone fortalecer y dotar de mayores recursos materiales y humanos a las áreas locales de Promoción y Protección de Derechos de Niños, Niñas y Adolescentes, así como también a los Centros Sociocomunitarios de Responsabilidad Penal Juvenil y los Centros Cerrados y de Contención para brindar un pronto, continuo y efectivo abordaje integral, interpelando la implementación de políticas públicas que garanticen los derechos humanos los jóvenes.-</w:t>
      </w:r>
    </w:p>
    <w:p w:rsidR="00000000" w:rsidDel="00000000" w:rsidP="00000000" w:rsidRDefault="00000000" w:rsidRPr="00000000" w14:paraId="00000034">
      <w:pPr>
        <w:spacing w:after="0" w:line="36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spacing w:after="0" w:line="36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COLOFÓN</w:t>
      </w:r>
      <w:r w:rsidDel="00000000" w:rsidR="00000000" w:rsidRPr="00000000">
        <w:rPr>
          <w:rtl w:val="0"/>
        </w:rPr>
      </w:r>
    </w:p>
    <w:p w:rsidR="00000000" w:rsidDel="00000000" w:rsidP="00000000" w:rsidRDefault="00000000" w:rsidRPr="00000000" w14:paraId="00000036">
      <w:pPr>
        <w:spacing w:after="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modo de cierre, lejos de pretender inmiscuirnos y/o arrogarnos funciones legislativas, lo que aquí se trasmite es el interés e ideas que podemos acercar desde el trabajo de quienes integramos el Fuero de la Responsabilidad Penal Juvenil y que se deriva de la experiencia recogida a lo largo de estos años 10 años, aportes que consideramos pueden ser fructíferos para los puntos en análisis y discusión. Así, la función del Derecho como regulador de la conducta humana en sociedad, y más aun lo que atañe a este Fuero de especialidad, debe estar rodeada de una visión amplia que incluya la mirada y estudio de la problemática desde todos los ángulos y reuniendo a todos los actores posibles.</w:t>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Párrafodelista">
    <w:name w:val="Párrafo de lista"/>
    <w:basedOn w:val="Normal"/>
    <w:next w:val="Párrafodelista"/>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s-AR"/>
    </w:rPr>
  </w:style>
  <w:style w:type="paragraph" w:styleId="x_msolistparagraph">
    <w:name w:val="x_msolistparagraph"/>
    <w:basedOn w:val="Normal"/>
    <w:next w:val="x_msolistparagraph"/>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AR" w:val="es-AR"/>
    </w:rPr>
  </w:style>
  <w:style w:type="paragraph" w:styleId="Standard">
    <w:name w:val="Standard"/>
    <w:next w:val="Standard"/>
    <w:autoRedefine w:val="0"/>
    <w:hidden w:val="0"/>
    <w:qFormat w:val="0"/>
    <w:pPr>
      <w:suppressAutoHyphens w:val="0"/>
      <w:autoSpaceDN w:val="0"/>
      <w:spacing w:line="1" w:lineRule="atLeast"/>
      <w:ind w:leftChars="-1" w:rightChars="0" w:firstLineChars="-1"/>
      <w:textDirection w:val="btLr"/>
      <w:textAlignment w:val="baseline"/>
      <w:outlineLvl w:val="0"/>
    </w:pPr>
    <w:rPr>
      <w:rFonts w:ascii="Futura Lt BT" w:eastAsia="Times New Roman" w:hAnsi="Futura Lt BT"/>
      <w:w w:val="100"/>
      <w:kern w:val="3"/>
      <w:position w:val="-1"/>
      <w:sz w:val="24"/>
      <w:effect w:val="none"/>
      <w:vertAlign w:val="baseline"/>
      <w:cs w:val="0"/>
      <w:em w:val="none"/>
      <w:lang w:bidi="ar-SA" w:eastAsia="zh-CN"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2019-04-08T19:55:00Z</dcterms:created>
  <dc:creator>natalia giombi</dc:creator>
</cp:coreProperties>
</file>